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45515" w14:textId="1DD09DFC" w:rsidR="00DF293B" w:rsidRDefault="00DF293B" w:rsidP="00DF293B">
      <w:pPr>
        <w:spacing w:line="360" w:lineRule="exact"/>
        <w:ind w:right="890"/>
        <w:jc w:val="center"/>
        <w:rPr>
          <w:rFonts w:cstheme="minorHAnsi"/>
          <w:bCs/>
          <w:sz w:val="22"/>
          <w:szCs w:val="22"/>
        </w:rPr>
      </w:pPr>
      <w:bookmarkStart w:id="0" w:name="_Hlk64709565"/>
      <w:bookmarkStart w:id="1" w:name="_Hlk64709524"/>
      <w:bookmarkStart w:id="2" w:name="_Hlk66264346"/>
      <w:r w:rsidRPr="006147E2">
        <w:rPr>
          <w:rFonts w:cstheme="minorHAnsi"/>
          <w:bCs/>
          <w:sz w:val="22"/>
          <w:szCs w:val="22"/>
        </w:rPr>
        <w:t xml:space="preserve">Stand: </w:t>
      </w:r>
      <w:r w:rsidRPr="006147E2">
        <w:rPr>
          <w:rFonts w:cstheme="minorHAnsi"/>
          <w:bCs/>
          <w:sz w:val="22"/>
          <w:szCs w:val="22"/>
        </w:rPr>
        <w:fldChar w:fldCharType="begin"/>
      </w:r>
      <w:r w:rsidRPr="006147E2">
        <w:rPr>
          <w:rFonts w:cstheme="minorHAnsi"/>
          <w:bCs/>
          <w:sz w:val="22"/>
          <w:szCs w:val="22"/>
        </w:rPr>
        <w:instrText xml:space="preserve"> TIME \@ "d. MMMM yyyy" </w:instrText>
      </w:r>
      <w:r w:rsidRPr="006147E2">
        <w:rPr>
          <w:rFonts w:cstheme="minorHAnsi"/>
          <w:bCs/>
          <w:sz w:val="22"/>
          <w:szCs w:val="22"/>
        </w:rPr>
        <w:fldChar w:fldCharType="separate"/>
      </w:r>
      <w:r w:rsidR="00034622">
        <w:rPr>
          <w:rFonts w:cstheme="minorHAnsi"/>
          <w:bCs/>
          <w:noProof/>
          <w:sz w:val="22"/>
          <w:szCs w:val="22"/>
        </w:rPr>
        <w:t>30. Mai 2021</w:t>
      </w:r>
      <w:r w:rsidRPr="006147E2">
        <w:rPr>
          <w:rFonts w:cstheme="minorHAnsi"/>
          <w:bCs/>
          <w:sz w:val="22"/>
          <w:szCs w:val="22"/>
        </w:rPr>
        <w:fldChar w:fldCharType="end"/>
      </w:r>
    </w:p>
    <w:p w14:paraId="7A81ADD6" w14:textId="77777777" w:rsidR="0023736E" w:rsidRPr="006147E2" w:rsidRDefault="0023736E" w:rsidP="00DF293B">
      <w:pPr>
        <w:spacing w:line="360" w:lineRule="exact"/>
        <w:ind w:right="890"/>
        <w:jc w:val="center"/>
        <w:rPr>
          <w:rFonts w:cstheme="minorHAnsi"/>
          <w:bCs/>
          <w:sz w:val="22"/>
          <w:szCs w:val="22"/>
        </w:rPr>
      </w:pPr>
    </w:p>
    <w:p w14:paraId="3090BE3A" w14:textId="035ADC53" w:rsidR="00DF293B" w:rsidRPr="006147E2" w:rsidRDefault="00DF293B" w:rsidP="00DF293B">
      <w:pPr>
        <w:tabs>
          <w:tab w:val="center" w:pos="4252"/>
          <w:tab w:val="right" w:pos="8505"/>
        </w:tabs>
        <w:spacing w:line="360" w:lineRule="exact"/>
        <w:ind w:right="890"/>
        <w:jc w:val="center"/>
        <w:rPr>
          <w:rFonts w:cstheme="minorHAnsi"/>
          <w:b/>
          <w:bCs/>
          <w:sz w:val="26"/>
          <w:szCs w:val="26"/>
        </w:rPr>
      </w:pPr>
      <w:r w:rsidRPr="006147E2">
        <w:rPr>
          <w:rFonts w:cstheme="minorHAnsi"/>
          <w:b/>
          <w:bCs/>
          <w:sz w:val="26"/>
          <w:szCs w:val="26"/>
        </w:rPr>
        <w:t xml:space="preserve">Schriftenverzeichnis </w:t>
      </w:r>
      <w:r w:rsidR="00EB3FF2">
        <w:rPr>
          <w:rFonts w:cstheme="minorHAnsi"/>
          <w:b/>
          <w:bCs/>
          <w:sz w:val="26"/>
          <w:szCs w:val="26"/>
        </w:rPr>
        <w:t>RA/</w:t>
      </w:r>
      <w:r w:rsidRPr="006147E2">
        <w:rPr>
          <w:rFonts w:cstheme="minorHAnsi"/>
          <w:b/>
          <w:bCs/>
          <w:sz w:val="26"/>
          <w:szCs w:val="26"/>
        </w:rPr>
        <w:t>StB</w:t>
      </w:r>
      <w:r w:rsidR="00912B69">
        <w:rPr>
          <w:rFonts w:cstheme="minorHAnsi"/>
          <w:b/>
          <w:bCs/>
          <w:sz w:val="26"/>
          <w:szCs w:val="26"/>
        </w:rPr>
        <w:t>/</w:t>
      </w:r>
      <w:proofErr w:type="spellStart"/>
      <w:r w:rsidR="00912B69">
        <w:rPr>
          <w:rFonts w:cstheme="minorHAnsi"/>
          <w:b/>
          <w:bCs/>
          <w:sz w:val="26"/>
          <w:szCs w:val="26"/>
        </w:rPr>
        <w:t>FAStR</w:t>
      </w:r>
      <w:proofErr w:type="spellEnd"/>
      <w:r w:rsidRPr="006147E2">
        <w:rPr>
          <w:rFonts w:cstheme="minorHAnsi"/>
          <w:b/>
          <w:bCs/>
          <w:sz w:val="26"/>
          <w:szCs w:val="26"/>
        </w:rPr>
        <w:t xml:space="preserve"> </w:t>
      </w:r>
      <w:r w:rsidR="00EB3FF2">
        <w:rPr>
          <w:rFonts w:cstheme="minorHAnsi"/>
          <w:b/>
          <w:bCs/>
          <w:sz w:val="26"/>
          <w:szCs w:val="26"/>
        </w:rPr>
        <w:t>Dr. Henning Frase</w:t>
      </w:r>
      <w:r w:rsidR="00912B69">
        <w:rPr>
          <w:rFonts w:cstheme="minorHAnsi"/>
          <w:b/>
          <w:bCs/>
          <w:sz w:val="26"/>
          <w:szCs w:val="26"/>
        </w:rPr>
        <w:t>, LL.M.</w:t>
      </w:r>
    </w:p>
    <w:bookmarkEnd w:id="0"/>
    <w:bookmarkEnd w:id="1"/>
    <w:p w14:paraId="3BDE885E" w14:textId="77777777" w:rsidR="00DF293B" w:rsidRPr="00AF121C" w:rsidRDefault="00DF293B" w:rsidP="00DF293B">
      <w:pPr>
        <w:spacing w:line="360" w:lineRule="exact"/>
        <w:ind w:right="890"/>
        <w:jc w:val="center"/>
        <w:rPr>
          <w:rFonts w:cstheme="minorHAnsi"/>
          <w:b/>
          <w:sz w:val="23"/>
          <w:szCs w:val="23"/>
        </w:rPr>
      </w:pPr>
    </w:p>
    <w:p w14:paraId="63225B0F" w14:textId="69560F83" w:rsidR="00DF293B" w:rsidRPr="006147E2" w:rsidRDefault="00DF293B" w:rsidP="00DF293B">
      <w:pPr>
        <w:pStyle w:val="ST"/>
        <w:tabs>
          <w:tab w:val="clear" w:pos="567"/>
          <w:tab w:val="clear" w:pos="1134"/>
          <w:tab w:val="clear" w:pos="1701"/>
          <w:tab w:val="clear" w:pos="2552"/>
          <w:tab w:val="clear" w:pos="3402"/>
        </w:tabs>
        <w:ind w:right="890"/>
        <w:rPr>
          <w:rFonts w:asciiTheme="minorHAnsi" w:hAnsiTheme="minorHAnsi" w:cstheme="minorHAnsi"/>
          <w:b/>
          <w:sz w:val="26"/>
          <w:szCs w:val="26"/>
        </w:rPr>
      </w:pPr>
      <w:r w:rsidRPr="006147E2">
        <w:rPr>
          <w:rFonts w:asciiTheme="minorHAnsi" w:hAnsiTheme="minorHAnsi" w:cstheme="minorHAnsi"/>
          <w:b/>
          <w:sz w:val="26"/>
          <w:szCs w:val="26"/>
        </w:rPr>
        <w:t>A.</w:t>
      </w:r>
      <w:r w:rsidRPr="006147E2">
        <w:rPr>
          <w:rFonts w:asciiTheme="minorHAnsi" w:hAnsiTheme="minorHAnsi" w:cstheme="minorHAnsi"/>
          <w:b/>
          <w:sz w:val="26"/>
          <w:szCs w:val="26"/>
        </w:rPr>
        <w:tab/>
        <w:t>Kommentierungen</w:t>
      </w:r>
      <w:r w:rsidR="00EB3FF2">
        <w:rPr>
          <w:rFonts w:asciiTheme="minorHAnsi" w:hAnsiTheme="minorHAnsi" w:cstheme="minorHAnsi"/>
          <w:b/>
          <w:sz w:val="26"/>
          <w:szCs w:val="26"/>
        </w:rPr>
        <w:t xml:space="preserve"> und Buchbeiträge</w:t>
      </w:r>
    </w:p>
    <w:p w14:paraId="380C3148" w14:textId="77777777" w:rsidR="00DF293B" w:rsidRPr="00AF121C" w:rsidRDefault="00DF293B" w:rsidP="00DF293B">
      <w:pPr>
        <w:ind w:right="890"/>
        <w:rPr>
          <w:rFonts w:cstheme="minorHAnsi"/>
        </w:rPr>
      </w:pPr>
    </w:p>
    <w:bookmarkEnd w:id="2"/>
    <w:p w14:paraId="208079AA" w14:textId="0B76A56D" w:rsidR="00EB3FF2" w:rsidRPr="004C1BC7" w:rsidRDefault="00EB3FF2" w:rsidP="002B483D">
      <w:pPr>
        <w:pStyle w:val="Listenabsatz"/>
        <w:numPr>
          <w:ilvl w:val="0"/>
          <w:numId w:val="12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4C1BC7">
        <w:rPr>
          <w:rFonts w:eastAsia="Times New Roman" w:cstheme="minorHAnsi"/>
          <w:sz w:val="22"/>
          <w:szCs w:val="22"/>
          <w:lang w:eastAsia="de-DE"/>
        </w:rPr>
        <w:t xml:space="preserve"> Kommentierung zu § 4j EStG (Aufwendungen für Rechteüberlassungen) sowie § 4k EStG-E (Betriebsausgabenabzug bei hybriden Gestaltungen)</w:t>
      </w:r>
      <w:r w:rsidR="004C1BC7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Pr="004C1BC7">
        <w:rPr>
          <w:rFonts w:eastAsia="Times New Roman" w:cstheme="minorHAnsi"/>
          <w:sz w:val="22"/>
          <w:szCs w:val="22"/>
          <w:lang w:eastAsia="de-DE"/>
        </w:rPr>
        <w:t>in: EStG, Loseblatt-Kommentar (hrsg. von Korn), Stand 2021</w:t>
      </w:r>
    </w:p>
    <w:p w14:paraId="488B4152" w14:textId="61B4FF51" w:rsidR="00EB3FF2" w:rsidRPr="004C1BC7" w:rsidRDefault="00EB3FF2" w:rsidP="00022212">
      <w:pPr>
        <w:pStyle w:val="Listenabsatz"/>
        <w:numPr>
          <w:ilvl w:val="0"/>
          <w:numId w:val="12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4C1BC7">
        <w:rPr>
          <w:rFonts w:eastAsia="Times New Roman" w:cstheme="minorHAnsi"/>
          <w:sz w:val="22"/>
          <w:szCs w:val="22"/>
          <w:lang w:eastAsia="de-DE"/>
        </w:rPr>
        <w:t xml:space="preserve">Kommentierung zu § 4j EStG (Aufwendungen für Rechteüberlassungen) sowie § 4k EStG-E (Betriebsausgabenabzug bei hybriden Gestaltungen) in: 360° EStG </w:t>
      </w:r>
      <w:proofErr w:type="spellStart"/>
      <w:r w:rsidRPr="004C1BC7">
        <w:rPr>
          <w:rFonts w:eastAsia="Times New Roman" w:cstheme="minorHAnsi"/>
          <w:sz w:val="22"/>
          <w:szCs w:val="22"/>
          <w:lang w:eastAsia="de-DE"/>
        </w:rPr>
        <w:t>eKommentar</w:t>
      </w:r>
      <w:proofErr w:type="spellEnd"/>
      <w:r w:rsidRPr="004C1BC7">
        <w:rPr>
          <w:rFonts w:eastAsia="Times New Roman" w:cstheme="minorHAnsi"/>
          <w:sz w:val="22"/>
          <w:szCs w:val="22"/>
          <w:lang w:eastAsia="de-DE"/>
        </w:rPr>
        <w:t xml:space="preserve"> (hrsg. von Fuhrmann/</w:t>
      </w:r>
      <w:proofErr w:type="spellStart"/>
      <w:r w:rsidRPr="004C1BC7">
        <w:rPr>
          <w:rFonts w:eastAsia="Times New Roman" w:cstheme="minorHAnsi"/>
          <w:sz w:val="22"/>
          <w:szCs w:val="22"/>
          <w:lang w:eastAsia="de-DE"/>
        </w:rPr>
        <w:t>Kraeusel</w:t>
      </w:r>
      <w:proofErr w:type="spellEnd"/>
      <w:r w:rsidRPr="004C1BC7">
        <w:rPr>
          <w:rFonts w:eastAsia="Times New Roman" w:cstheme="minorHAnsi"/>
          <w:sz w:val="22"/>
          <w:szCs w:val="22"/>
          <w:lang w:eastAsia="de-DE"/>
        </w:rPr>
        <w:t>/Schiffers), Stand 202</w:t>
      </w:r>
      <w:r w:rsidR="004C1BC7">
        <w:rPr>
          <w:rFonts w:eastAsia="Times New Roman" w:cstheme="minorHAnsi"/>
          <w:sz w:val="22"/>
          <w:szCs w:val="22"/>
          <w:lang w:eastAsia="de-DE"/>
        </w:rPr>
        <w:t>1</w:t>
      </w:r>
      <w:r w:rsidRPr="004C1BC7">
        <w:rPr>
          <w:rFonts w:eastAsia="Times New Roman" w:cstheme="minorHAnsi"/>
          <w:sz w:val="22"/>
          <w:szCs w:val="22"/>
          <w:lang w:eastAsia="de-DE"/>
        </w:rPr>
        <w:t xml:space="preserve"> </w:t>
      </w:r>
    </w:p>
    <w:p w14:paraId="2155C92C" w14:textId="77B3B385" w:rsidR="00EB3FF2" w:rsidRPr="00EB3FF2" w:rsidRDefault="00EB3FF2" w:rsidP="00EB3FF2">
      <w:pPr>
        <w:pStyle w:val="Listenabsatz"/>
        <w:numPr>
          <w:ilvl w:val="0"/>
          <w:numId w:val="12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>Die Besteuerung der Vereine (Mitautor) in: Die Besteuerung der Vereine (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begr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. </w:t>
      </w:r>
      <w:proofErr w:type="gramStart"/>
      <w:r w:rsidRPr="00EB3FF2">
        <w:rPr>
          <w:rFonts w:eastAsia="Times New Roman" w:cstheme="minorHAnsi"/>
          <w:sz w:val="22"/>
          <w:szCs w:val="22"/>
          <w:lang w:eastAsia="de-DE"/>
        </w:rPr>
        <w:t xml:space="preserve">von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Reuber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>,</w:t>
      </w:r>
      <w:proofErr w:type="gram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herausgegeben von Brill/Kümpel), Loseblatt-Kommentar, Stand 2021</w:t>
      </w:r>
    </w:p>
    <w:p w14:paraId="7313636A" w14:textId="3106234F" w:rsidR="00EB3FF2" w:rsidRPr="00EB3FF2" w:rsidRDefault="00EB3FF2" w:rsidP="00EB3FF2">
      <w:pPr>
        <w:pStyle w:val="Listenabsatz"/>
        <w:numPr>
          <w:ilvl w:val="0"/>
          <w:numId w:val="12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Steuerspezifische Compliance bei steuerbegünstigten Körperschaften und juristischen Personen des öffentlichen Rechts; in: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Tax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Compliance (hrsg. von Rübenstahl/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Idler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>)</w:t>
      </w:r>
      <w:r w:rsidR="004C1BC7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Pr="00EB3FF2">
        <w:rPr>
          <w:rFonts w:eastAsia="Times New Roman" w:cstheme="minorHAnsi"/>
          <w:sz w:val="22"/>
          <w:szCs w:val="22"/>
          <w:lang w:eastAsia="de-DE"/>
        </w:rPr>
        <w:t>2018</w:t>
      </w:r>
    </w:p>
    <w:p w14:paraId="49D9CFD2" w14:textId="3DC401EF" w:rsidR="00EB3FF2" w:rsidRPr="00EB3FF2" w:rsidRDefault="00EB3FF2" w:rsidP="00EB3FF2">
      <w:pPr>
        <w:pStyle w:val="Listenabsatz"/>
        <w:numPr>
          <w:ilvl w:val="0"/>
          <w:numId w:val="12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Steuerliche und bilanzielle Aspekte des IT-Outsourcings in: Handbuch IT-Outsourcing (hrsg. von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Söbbing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>), 4. Auflage 2015</w:t>
      </w:r>
    </w:p>
    <w:p w14:paraId="44067DEF" w14:textId="46563856" w:rsidR="00EB3FF2" w:rsidRPr="00EB3FF2" w:rsidRDefault="00EB3FF2" w:rsidP="00EB3FF2">
      <w:pPr>
        <w:pStyle w:val="Listenabsatz"/>
        <w:numPr>
          <w:ilvl w:val="0"/>
          <w:numId w:val="12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Integration erworbener Unternehmungen (Co-Autor) in: Unternehmenskauf in der Steuerpraxis (hrsg. von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Sinewe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), 2015 </w:t>
      </w:r>
    </w:p>
    <w:p w14:paraId="481A2113" w14:textId="30644D0B" w:rsidR="00EB3FF2" w:rsidRPr="00EB3FF2" w:rsidRDefault="00EB3FF2" w:rsidP="00EB3FF2">
      <w:pPr>
        <w:pStyle w:val="Listenabsatz"/>
        <w:numPr>
          <w:ilvl w:val="0"/>
          <w:numId w:val="12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Joint Ventures unter Beteiligung der öffentlichen Hand – rechtliche und steuerliche Aspekte (Co-Autor) in: Erneuerbare Energien, Cross-Border-Strategien und Länderberichte (hrsg. von Tappen/Nagel), </w:t>
      </w:r>
      <w:r w:rsidR="004C1BC7">
        <w:rPr>
          <w:rFonts w:eastAsia="Times New Roman" w:cstheme="minorHAnsi"/>
          <w:sz w:val="22"/>
          <w:szCs w:val="22"/>
          <w:lang w:eastAsia="de-DE"/>
        </w:rPr>
        <w:t>2</w:t>
      </w:r>
      <w:r w:rsidRPr="00EB3FF2">
        <w:rPr>
          <w:rFonts w:eastAsia="Times New Roman" w:cstheme="minorHAnsi"/>
          <w:sz w:val="22"/>
          <w:szCs w:val="22"/>
          <w:lang w:eastAsia="de-DE"/>
        </w:rPr>
        <w:t>014</w:t>
      </w:r>
    </w:p>
    <w:p w14:paraId="2D73BB48" w14:textId="12357A53" w:rsidR="00EB3FF2" w:rsidRPr="00EB3FF2" w:rsidRDefault="00EB3FF2" w:rsidP="00EB3FF2">
      <w:pPr>
        <w:pStyle w:val="Listenabsatz"/>
        <w:numPr>
          <w:ilvl w:val="0"/>
          <w:numId w:val="12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>Steuerrecht (Co-Autor) in: Praxishandbuch Rechtsfragen des Cloud-Computing (hrsg. von Niemann/Paul), 2013</w:t>
      </w:r>
    </w:p>
    <w:p w14:paraId="4BE489C7" w14:textId="0DE7503B" w:rsidR="00EB3FF2" w:rsidRPr="00EB3FF2" w:rsidRDefault="00EB3FF2" w:rsidP="00EB3FF2">
      <w:pPr>
        <w:pStyle w:val="Listenabsatz"/>
        <w:numPr>
          <w:ilvl w:val="0"/>
          <w:numId w:val="12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Zusammenfassende Übersichten und Praxisbeispiele in: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Tax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Due Diligence beim Unternehmenskauf (hrsg. von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Sinewe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>), 2. Auflage 2014</w:t>
      </w:r>
    </w:p>
    <w:p w14:paraId="19868238" w14:textId="2BE9602C" w:rsidR="00EB3FF2" w:rsidRPr="00EB3FF2" w:rsidRDefault="00EB3FF2" w:rsidP="00EB3FF2">
      <w:pPr>
        <w:pStyle w:val="Listenabsatz"/>
        <w:numPr>
          <w:ilvl w:val="0"/>
          <w:numId w:val="12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>Steuerrecht (Co-Autor) in: Handbuch Marken- und Designrecht (hrsg. von Stöckel), 3. Auflage 2013</w:t>
      </w:r>
    </w:p>
    <w:p w14:paraId="3C174026" w14:textId="40AB3DFC" w:rsidR="00EB3FF2" w:rsidRPr="00EB3FF2" w:rsidRDefault="00EB3FF2" w:rsidP="00EB3FF2">
      <w:pPr>
        <w:pStyle w:val="Listenabsatz"/>
        <w:numPr>
          <w:ilvl w:val="0"/>
          <w:numId w:val="12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>Leonische Vereinbarungen und Ergebnisbeteiligungspflicht im deutschen und italienischen Gesellschaftsrecht; Dissertation, 2009</w:t>
      </w:r>
    </w:p>
    <w:p w14:paraId="109B44B7" w14:textId="77777777" w:rsidR="00EB3FF2" w:rsidRDefault="00EB3FF2" w:rsidP="00EB3FF2">
      <w:pPr>
        <w:pStyle w:val="ST"/>
        <w:tabs>
          <w:tab w:val="clear" w:pos="567"/>
          <w:tab w:val="clear" w:pos="1134"/>
          <w:tab w:val="clear" w:pos="1701"/>
          <w:tab w:val="clear" w:pos="2552"/>
          <w:tab w:val="clear" w:pos="3402"/>
        </w:tabs>
        <w:ind w:right="890"/>
        <w:rPr>
          <w:rFonts w:asciiTheme="minorHAnsi" w:hAnsiTheme="minorHAnsi" w:cstheme="minorHAnsi"/>
          <w:color w:val="auto"/>
          <w:szCs w:val="22"/>
        </w:rPr>
      </w:pPr>
    </w:p>
    <w:p w14:paraId="035673DC" w14:textId="6AFDC9A3" w:rsidR="00DF293B" w:rsidRPr="006147E2" w:rsidRDefault="00DF293B" w:rsidP="00EB3FF2">
      <w:pPr>
        <w:pStyle w:val="ST"/>
        <w:tabs>
          <w:tab w:val="clear" w:pos="567"/>
          <w:tab w:val="clear" w:pos="1134"/>
          <w:tab w:val="clear" w:pos="1701"/>
          <w:tab w:val="clear" w:pos="2552"/>
          <w:tab w:val="clear" w:pos="3402"/>
        </w:tabs>
        <w:ind w:right="890"/>
        <w:rPr>
          <w:rFonts w:asciiTheme="minorHAnsi" w:hAnsiTheme="minorHAnsi" w:cstheme="minorHAnsi"/>
          <w:b/>
          <w:sz w:val="26"/>
          <w:szCs w:val="26"/>
        </w:rPr>
      </w:pPr>
      <w:r w:rsidRPr="006147E2">
        <w:rPr>
          <w:rFonts w:asciiTheme="minorHAnsi" w:hAnsiTheme="minorHAnsi" w:cstheme="minorHAnsi"/>
          <w:b/>
          <w:sz w:val="26"/>
          <w:szCs w:val="26"/>
        </w:rPr>
        <w:t>B.</w:t>
      </w:r>
      <w:r w:rsidRPr="006147E2">
        <w:rPr>
          <w:rFonts w:asciiTheme="minorHAnsi" w:hAnsiTheme="minorHAnsi" w:cstheme="minorHAnsi"/>
          <w:b/>
          <w:sz w:val="26"/>
          <w:szCs w:val="26"/>
        </w:rPr>
        <w:tab/>
        <w:t>Zeitschriftenbeiträge</w:t>
      </w:r>
    </w:p>
    <w:p w14:paraId="26A76D61" w14:textId="77777777" w:rsidR="00DF293B" w:rsidRPr="00AF121C" w:rsidRDefault="00DF293B" w:rsidP="00DF293B">
      <w:pPr>
        <w:ind w:right="890"/>
        <w:rPr>
          <w:rFonts w:cstheme="minorHAnsi"/>
        </w:rPr>
      </w:pPr>
      <w:bookmarkStart w:id="3" w:name="_Hlk40912908"/>
      <w:bookmarkStart w:id="4" w:name="_Hlk19829696"/>
    </w:p>
    <w:p w14:paraId="560A20B6" w14:textId="3EB19F76" w:rsidR="0023736E" w:rsidRPr="0023736E" w:rsidRDefault="0023736E" w:rsidP="0023736E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23736E">
        <w:rPr>
          <w:rFonts w:eastAsia="Times New Roman" w:cstheme="minorHAnsi"/>
          <w:sz w:val="22"/>
          <w:szCs w:val="22"/>
          <w:lang w:eastAsia="de-DE"/>
        </w:rPr>
        <w:t>Deutsch-US-amerikanische Steuerplanung in der Ära Biden</w:t>
      </w:r>
      <w:r>
        <w:rPr>
          <w:rFonts w:eastAsia="Times New Roman" w:cstheme="minorHAnsi"/>
          <w:sz w:val="22"/>
          <w:szCs w:val="22"/>
          <w:lang w:eastAsia="de-DE"/>
        </w:rPr>
        <w:t xml:space="preserve"> - </w:t>
      </w:r>
      <w:r w:rsidRPr="0023736E">
        <w:rPr>
          <w:rFonts w:eastAsia="Times New Roman" w:cstheme="minorHAnsi"/>
          <w:sz w:val="22"/>
          <w:szCs w:val="22"/>
          <w:lang w:eastAsia="de-DE"/>
        </w:rPr>
        <w:t>Ausgewählte Brennpunkte der Einkommen-, Körperschaft- sowie Erbschaft- und Schenkungsteuer</w:t>
      </w:r>
      <w:r>
        <w:rPr>
          <w:rFonts w:eastAsia="Times New Roman" w:cstheme="minorHAnsi"/>
          <w:sz w:val="22"/>
          <w:szCs w:val="22"/>
          <w:lang w:eastAsia="de-DE"/>
        </w:rPr>
        <w:t>,</w:t>
      </w:r>
      <w:r w:rsidRPr="00912B69">
        <w:rPr>
          <w:rFonts w:eastAsia="Times New Roman" w:cstheme="minorHAnsi"/>
          <w:sz w:val="22"/>
          <w:szCs w:val="22"/>
          <w:lang w:eastAsia="de-DE"/>
        </w:rPr>
        <w:t xml:space="preserve"> </w:t>
      </w:r>
      <w:r>
        <w:rPr>
          <w:rFonts w:eastAsia="Times New Roman" w:cstheme="minorHAnsi"/>
          <w:sz w:val="22"/>
          <w:szCs w:val="22"/>
          <w:lang w:eastAsia="de-DE"/>
        </w:rPr>
        <w:t>in:</w:t>
      </w:r>
      <w:r>
        <w:rPr>
          <w:rFonts w:eastAsia="Times New Roman" w:cstheme="minorHAnsi"/>
          <w:sz w:val="22"/>
          <w:szCs w:val="22"/>
          <w:lang w:eastAsia="de-DE"/>
        </w:rPr>
        <w:t xml:space="preserve"> IWB</w:t>
      </w:r>
      <w:r w:rsidRPr="00EB3FF2">
        <w:rPr>
          <w:rFonts w:eastAsia="Times New Roman" w:cstheme="minorHAnsi"/>
          <w:sz w:val="22"/>
          <w:szCs w:val="22"/>
          <w:lang w:eastAsia="de-DE"/>
        </w:rPr>
        <w:t xml:space="preserve"> 20</w:t>
      </w:r>
      <w:r>
        <w:rPr>
          <w:rFonts w:eastAsia="Times New Roman" w:cstheme="minorHAnsi"/>
          <w:sz w:val="22"/>
          <w:szCs w:val="22"/>
          <w:lang w:eastAsia="de-DE"/>
        </w:rPr>
        <w:t>21</w:t>
      </w:r>
      <w:r w:rsidRPr="00EB3FF2">
        <w:rPr>
          <w:rFonts w:eastAsia="Times New Roman" w:cstheme="minorHAnsi"/>
          <w:sz w:val="22"/>
          <w:szCs w:val="22"/>
          <w:lang w:eastAsia="de-DE"/>
        </w:rPr>
        <w:t xml:space="preserve">, S. </w:t>
      </w:r>
      <w:r>
        <w:rPr>
          <w:rFonts w:eastAsia="Times New Roman" w:cstheme="minorHAnsi"/>
          <w:sz w:val="22"/>
          <w:szCs w:val="22"/>
          <w:lang w:eastAsia="de-DE"/>
        </w:rPr>
        <w:t>409</w:t>
      </w:r>
      <w:r>
        <w:rPr>
          <w:rFonts w:eastAsia="Times New Roman" w:cstheme="minorHAnsi"/>
          <w:sz w:val="22"/>
          <w:szCs w:val="22"/>
          <w:lang w:eastAsia="de-DE"/>
        </w:rPr>
        <w:t xml:space="preserve"> (Heft </w:t>
      </w:r>
      <w:r>
        <w:rPr>
          <w:rFonts w:eastAsia="Times New Roman" w:cstheme="minorHAnsi"/>
          <w:sz w:val="22"/>
          <w:szCs w:val="22"/>
          <w:lang w:eastAsia="de-DE"/>
        </w:rPr>
        <w:t>10</w:t>
      </w:r>
      <w:r>
        <w:rPr>
          <w:rFonts w:eastAsia="Times New Roman" w:cstheme="minorHAnsi"/>
          <w:sz w:val="22"/>
          <w:szCs w:val="22"/>
          <w:lang w:eastAsia="de-DE"/>
        </w:rPr>
        <w:t>/2021)</w:t>
      </w:r>
    </w:p>
    <w:p w14:paraId="195297CC" w14:textId="4518733F" w:rsidR="00912B69" w:rsidRDefault="00912B69" w:rsidP="00912B69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912B69">
        <w:rPr>
          <w:rFonts w:eastAsia="Times New Roman" w:cstheme="minorHAnsi"/>
          <w:sz w:val="22"/>
          <w:szCs w:val="22"/>
          <w:lang w:eastAsia="de-DE"/>
        </w:rPr>
        <w:t xml:space="preserve">(Unterlassene?) Reparaturen an § 49 Abs. 1 Nr. 2 Buchst. f und Nr. 6 EStG sowie § 50d Abs. 3 EStG im Kontext des </w:t>
      </w:r>
      <w:proofErr w:type="spellStart"/>
      <w:r w:rsidRPr="00912B69">
        <w:rPr>
          <w:rFonts w:eastAsia="Times New Roman" w:cstheme="minorHAnsi"/>
          <w:sz w:val="22"/>
          <w:szCs w:val="22"/>
          <w:lang w:eastAsia="de-DE"/>
        </w:rPr>
        <w:t>AbzStEntModG</w:t>
      </w:r>
      <w:proofErr w:type="spellEnd"/>
      <w:r>
        <w:rPr>
          <w:rFonts w:eastAsia="Times New Roman" w:cstheme="minorHAnsi"/>
          <w:sz w:val="22"/>
          <w:szCs w:val="22"/>
          <w:lang w:eastAsia="de-DE"/>
        </w:rPr>
        <w:t>,</w:t>
      </w:r>
      <w:r w:rsidRPr="00912B69">
        <w:rPr>
          <w:rFonts w:eastAsia="Times New Roman" w:cstheme="minorHAnsi"/>
          <w:sz w:val="22"/>
          <w:szCs w:val="22"/>
          <w:lang w:eastAsia="de-DE"/>
        </w:rPr>
        <w:t xml:space="preserve"> </w:t>
      </w:r>
      <w:r>
        <w:rPr>
          <w:rFonts w:eastAsia="Times New Roman" w:cstheme="minorHAnsi"/>
          <w:sz w:val="22"/>
          <w:szCs w:val="22"/>
          <w:lang w:eastAsia="de-DE"/>
        </w:rPr>
        <w:t xml:space="preserve">in: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kösdi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20</w:t>
      </w:r>
      <w:r>
        <w:rPr>
          <w:rFonts w:eastAsia="Times New Roman" w:cstheme="minorHAnsi"/>
          <w:sz w:val="22"/>
          <w:szCs w:val="22"/>
          <w:lang w:eastAsia="de-DE"/>
        </w:rPr>
        <w:t>21</w:t>
      </w:r>
      <w:r w:rsidRPr="00EB3FF2">
        <w:rPr>
          <w:rFonts w:eastAsia="Times New Roman" w:cstheme="minorHAnsi"/>
          <w:sz w:val="22"/>
          <w:szCs w:val="22"/>
          <w:lang w:eastAsia="de-DE"/>
        </w:rPr>
        <w:t xml:space="preserve">, S. </w:t>
      </w:r>
      <w:r>
        <w:rPr>
          <w:rFonts w:eastAsia="Times New Roman" w:cstheme="minorHAnsi"/>
          <w:sz w:val="22"/>
          <w:szCs w:val="22"/>
          <w:lang w:eastAsia="de-DE"/>
        </w:rPr>
        <w:t>22208 (Heft 4/2021)</w:t>
      </w:r>
    </w:p>
    <w:p w14:paraId="5FD57F42" w14:textId="0EB48D76" w:rsidR="00CF387B" w:rsidRDefault="00CF387B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CF387B">
        <w:rPr>
          <w:rFonts w:eastAsia="Times New Roman" w:cstheme="minorHAnsi"/>
          <w:sz w:val="22"/>
          <w:szCs w:val="22"/>
          <w:lang w:eastAsia="de-DE"/>
        </w:rPr>
        <w:lastRenderedPageBreak/>
        <w:t>Vertragliche Kaufpreisaufteilung auf Boden und Gebäude bei Erwerb bebauter Immobilie</w:t>
      </w:r>
      <w:r w:rsidRPr="00EB3FF2">
        <w:rPr>
          <w:rFonts w:eastAsia="Times New Roman" w:cstheme="minorHAnsi"/>
          <w:sz w:val="22"/>
          <w:szCs w:val="22"/>
          <w:lang w:eastAsia="de-DE"/>
        </w:rPr>
        <w:t xml:space="preserve">, in: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BeSt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202</w:t>
      </w:r>
      <w:r>
        <w:rPr>
          <w:rFonts w:eastAsia="Times New Roman" w:cstheme="minorHAnsi"/>
          <w:sz w:val="22"/>
          <w:szCs w:val="22"/>
          <w:lang w:eastAsia="de-DE"/>
        </w:rPr>
        <w:t>1</w:t>
      </w:r>
      <w:r w:rsidRPr="00EB3FF2">
        <w:rPr>
          <w:rFonts w:eastAsia="Times New Roman" w:cstheme="minorHAnsi"/>
          <w:sz w:val="22"/>
          <w:szCs w:val="22"/>
          <w:lang w:eastAsia="de-DE"/>
        </w:rPr>
        <w:t xml:space="preserve">, S. </w:t>
      </w:r>
      <w:r>
        <w:rPr>
          <w:rFonts w:eastAsia="Times New Roman" w:cstheme="minorHAnsi"/>
          <w:sz w:val="22"/>
          <w:szCs w:val="22"/>
          <w:lang w:eastAsia="de-DE"/>
        </w:rPr>
        <w:t>17</w:t>
      </w:r>
    </w:p>
    <w:p w14:paraId="1D5AB0C3" w14:textId="08DBF262" w:rsid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„Dry Income“-Problem: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Zuflussbesteuerung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bei Darlehensvergütungen</w:t>
      </w:r>
      <w:r>
        <w:rPr>
          <w:rFonts w:eastAsia="Times New Roman" w:cstheme="minorHAnsi"/>
          <w:sz w:val="22"/>
          <w:szCs w:val="22"/>
          <w:lang w:eastAsia="de-DE"/>
        </w:rPr>
        <w:t xml:space="preserve">, in: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kösdi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20</w:t>
      </w:r>
      <w:r>
        <w:rPr>
          <w:rFonts w:eastAsia="Times New Roman" w:cstheme="minorHAnsi"/>
          <w:sz w:val="22"/>
          <w:szCs w:val="22"/>
          <w:lang w:eastAsia="de-DE"/>
        </w:rPr>
        <w:t>21</w:t>
      </w:r>
      <w:r w:rsidRPr="00EB3FF2">
        <w:rPr>
          <w:rFonts w:eastAsia="Times New Roman" w:cstheme="minorHAnsi"/>
          <w:sz w:val="22"/>
          <w:szCs w:val="22"/>
          <w:lang w:eastAsia="de-DE"/>
        </w:rPr>
        <w:t xml:space="preserve">, S. </w:t>
      </w:r>
      <w:r w:rsidR="00CF387B">
        <w:rPr>
          <w:rFonts w:eastAsia="Times New Roman" w:cstheme="minorHAnsi"/>
          <w:sz w:val="22"/>
          <w:szCs w:val="22"/>
          <w:lang w:eastAsia="de-DE"/>
        </w:rPr>
        <w:t>22170 (Heft 3/2021)</w:t>
      </w:r>
    </w:p>
    <w:p w14:paraId="15D2FE97" w14:textId="31619D4A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Berichtigung des Vorsteuerabzugs bei Errichtung in zeitlichen Abschnitten, in: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BeSt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2020, S. 44</w:t>
      </w:r>
    </w:p>
    <w:p w14:paraId="5A7D9F6D" w14:textId="1FB9AE54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>Zur finanziellen Eingliederung nach Maßgabe der umwandlungssteuerlichen “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Fußstapfentheorie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>“ in einer Anteilstauschkonstellation – Kommentar zu FG Düsseldorf v. 29.9.2020 - 6 K 2704/17, in: GmbHR 2020, S. 1304</w:t>
      </w:r>
    </w:p>
    <w:p w14:paraId="2059F7C2" w14:textId="4FBCF96D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Die Besteuerung grenzüberschreitender Arbeitnehmertätigkeiten – Grundlagen und Brennpunkte, in: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kösdi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2019, S. 21955</w:t>
      </w:r>
    </w:p>
    <w:p w14:paraId="36829B2E" w14:textId="7724898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Teleologische Reduktion von § 3c Abs. 2 EStG bei Zinsen auf Darlehen von Personengesellschaftern, in: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BeSt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2020, S. 25</w:t>
      </w:r>
    </w:p>
    <w:p w14:paraId="4B87F50C" w14:textId="5BDAE232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Umsatzsteuerliche Unternehmereigenschaft von Aufsichtsräten, in: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BeSt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2020, S. 21</w:t>
      </w:r>
    </w:p>
    <w:p w14:paraId="3EFCDCFD" w14:textId="55ACA8F7" w:rsidR="004C1BC7" w:rsidRPr="004C1BC7" w:rsidRDefault="00EB3FF2" w:rsidP="004C1BC7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Sollbesteuerung und „Uneinbringlichkeit“ bei langfristiger Ratenzahlung, in: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BeSt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2019, S. 43</w:t>
      </w:r>
    </w:p>
    <w:p w14:paraId="2B28350D" w14:textId="13D89B56" w:rsidR="00EB3FF2" w:rsidRPr="00912B69" w:rsidRDefault="00EB3FF2" w:rsidP="00912B69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>Ungesicherte Darlehen zwischen verbundenen Unternehmen, Urteil des BFH v. 27. 2. 2019</w:t>
      </w:r>
      <w:r w:rsidR="00912B69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Pr="00912B69">
        <w:rPr>
          <w:rFonts w:eastAsia="Times New Roman" w:cstheme="minorHAnsi"/>
          <w:sz w:val="22"/>
          <w:szCs w:val="22"/>
          <w:lang w:eastAsia="de-DE"/>
        </w:rPr>
        <w:t xml:space="preserve">I R 73/16, in: </w:t>
      </w:r>
      <w:proofErr w:type="spellStart"/>
      <w:r w:rsidRPr="00912B69">
        <w:rPr>
          <w:rFonts w:eastAsia="Times New Roman" w:cstheme="minorHAnsi"/>
          <w:sz w:val="22"/>
          <w:szCs w:val="22"/>
          <w:lang w:eastAsia="de-DE"/>
        </w:rPr>
        <w:t>BeSt</w:t>
      </w:r>
      <w:proofErr w:type="spellEnd"/>
      <w:r w:rsidRPr="00912B69">
        <w:rPr>
          <w:rFonts w:eastAsia="Times New Roman" w:cstheme="minorHAnsi"/>
          <w:sz w:val="22"/>
          <w:szCs w:val="22"/>
          <w:lang w:eastAsia="de-DE"/>
        </w:rPr>
        <w:t xml:space="preserve"> 2019, S. 25</w:t>
      </w:r>
    </w:p>
    <w:p w14:paraId="40880026" w14:textId="3D778BEB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Die Sicherstellung des Vorsteuerabzugs für Holding-GmbHs, in: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kösdi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2019, S. 21250</w:t>
      </w:r>
    </w:p>
    <w:p w14:paraId="3C7A9622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BFH: Steuerabzug nach § 50a Abs. 1 Nr. 3 EStG bei “total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buy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out”–Vertrag, Anm. zu BFH-Urteil vom </w:t>
      </w:r>
      <w:proofErr w:type="gramStart"/>
      <w:r w:rsidRPr="00EB3FF2">
        <w:rPr>
          <w:rFonts w:eastAsia="Times New Roman" w:cstheme="minorHAnsi"/>
          <w:sz w:val="22"/>
          <w:szCs w:val="22"/>
          <w:lang w:eastAsia="de-DE"/>
        </w:rPr>
        <w:t>24.10.2018 ,</w:t>
      </w:r>
      <w:proofErr w:type="gram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I R 69/16, in: BB 2019, S. 1253ff.</w:t>
      </w:r>
    </w:p>
    <w:p w14:paraId="45DE7882" w14:textId="62D5C1C5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Die Sicherstellung des Vorsteuerabzugs für Holding-GmbHs, in: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kösdi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2019, S. 21250</w:t>
      </w:r>
    </w:p>
    <w:p w14:paraId="02C1EB1F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Steuerpflicht eines im Ausland tätigen Lichtdesigners, in: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BeSt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2019, S. 2211</w:t>
      </w:r>
    </w:p>
    <w:p w14:paraId="6465BA35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Lizenzierungen – Gewerbesteuer und Quellensteuern im Brennpunkt, in: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kösdi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2019, S. 21163</w:t>
      </w:r>
    </w:p>
    <w:p w14:paraId="2DA57B11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Neues zur gewerbesteuerlichen Hinzurechnung, in: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BeSt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2019, S. 7</w:t>
      </w:r>
    </w:p>
    <w:p w14:paraId="406F16AA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>Abzug finaler EU-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Betriebsstättenverluste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(doch) zulässig, in: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BeSt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2018, S. 42</w:t>
      </w:r>
    </w:p>
    <w:p w14:paraId="00C54949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Steuerpauschalierung nach § 37b EStG für betrieblich veranlasste Zuwendungen, in: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BeSt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2018, S. 31</w:t>
      </w:r>
    </w:p>
    <w:p w14:paraId="2B991A9C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§ 50d Absatz 3 EStG (a.F.) teilweise unionsrechtswidrig - EuGH-Urteil C-504/16 vom 20 Dezember 2017, in: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BeSt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2018, S. 16</w:t>
      </w:r>
    </w:p>
    <w:p w14:paraId="2B9EA924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Das neue "Transparenzregister" - Hintergrund und Praxisfragen, in: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kösdi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2018, S. 20651</w:t>
      </w:r>
    </w:p>
    <w:p w14:paraId="00CBA096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Gewerbliche Prägung einer Einheits-GmbH &amp; Co. KG, in: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BeSt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2018, S. 2</w:t>
      </w:r>
    </w:p>
    <w:p w14:paraId="1EDC55CD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Erwerbergruppe im Sinne von § 8c Abs. 1 Satz 3 KStG, in: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BeSt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2017, S. 37</w:t>
      </w:r>
    </w:p>
    <w:p w14:paraId="05D45742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Kein Abzug "finaler" </w:t>
      </w:r>
      <w:proofErr w:type="spellStart"/>
      <w:proofErr w:type="gramStart"/>
      <w:r w:rsidRPr="00EB3FF2">
        <w:rPr>
          <w:rFonts w:eastAsia="Times New Roman" w:cstheme="minorHAnsi"/>
          <w:sz w:val="22"/>
          <w:szCs w:val="22"/>
          <w:lang w:eastAsia="de-DE"/>
        </w:rPr>
        <w:t>Betriebsstättenverluste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>?,</w:t>
      </w:r>
      <w:proofErr w:type="gram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in: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BeSt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2017, S. 27</w:t>
      </w:r>
    </w:p>
    <w:p w14:paraId="3E2421AB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Die "Lizenzschranke" (§ 4j EStG) - Einordnung und Anwendungsbereich, in: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kösdi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2017, S. 20497</w:t>
      </w:r>
    </w:p>
    <w:p w14:paraId="0B2C7AC9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lastRenderedPageBreak/>
        <w:t xml:space="preserve">Bisheriger Sanierungserlass ist verfassungswidrig - BFH Beschluss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GrS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1/15, in: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BeSt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2017, S. 18</w:t>
      </w:r>
    </w:p>
    <w:p w14:paraId="446F2672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Grenzüberschreitende Lizenzverträge - ertragsteuerliche Optimierungsansätze, in: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kösdi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2017, S. 20341</w:t>
      </w:r>
    </w:p>
    <w:p w14:paraId="7722AA71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Steuerrechtsänderungen für international tätige Unternehmen - BEPS und das Wahljahr 2017 lassen grüßen, in: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kösdi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2017, S. 20184</w:t>
      </w:r>
    </w:p>
    <w:p w14:paraId="07F1B8C0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Nicht gewerbliche Vermietung eines Einkaufszentrums mit Sonderleistungen, in: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BeSt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2017, S. 6</w:t>
      </w:r>
    </w:p>
    <w:p w14:paraId="5F494F6D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Steuern und Insolvenz - Grundfragen und ausgewählte Brennpunkte, in: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kösdi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2016, S. 19929</w:t>
      </w:r>
    </w:p>
    <w:p w14:paraId="1A78F2D9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Betriebsausgabenabzug bei verschenkten Kundenkalendern, in: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BeSt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2016, S. 43</w:t>
      </w:r>
    </w:p>
    <w:p w14:paraId="2D09380A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Parkraumüberlassung an Arbeitnehmer, in: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BeSt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2016, S. 37</w:t>
      </w:r>
    </w:p>
    <w:p w14:paraId="55B79CDE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Umsatzsteuer-Option im Grundstückskaufvertrag, in: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BeSt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2016, S. 25</w:t>
      </w:r>
    </w:p>
    <w:p w14:paraId="0009C433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>(Umsatz-)Steuerliche Aspekte bei Bitcoins, zugleich Besprechung von EuGH, Urteil vom 22.10.2015, C-264/14, in: Betriebs-Berater 2016, S. 14ff.</w:t>
      </w:r>
    </w:p>
    <w:p w14:paraId="11B879F3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>Wegzug aus Deutschland – ein steuerlicher Dauerbrenner, in: reinraum.de, Sommer 2015, sowie reinraum-Printline, 2/2015, S. 40f.</w:t>
      </w:r>
    </w:p>
    <w:p w14:paraId="6D2B1334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Geänderte Umsatzsteuerlast im grenzüberschreitenden B2C-Online-Geschäft ab 2015 – Wer trägt die </w:t>
      </w:r>
      <w:proofErr w:type="gramStart"/>
      <w:r w:rsidRPr="00EB3FF2">
        <w:rPr>
          <w:rFonts w:eastAsia="Times New Roman" w:cstheme="minorHAnsi"/>
          <w:sz w:val="22"/>
          <w:szCs w:val="22"/>
          <w:lang w:eastAsia="de-DE"/>
        </w:rPr>
        <w:t>Kosten?,</w:t>
      </w:r>
      <w:proofErr w:type="gram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in: Betriebs-Berater 2015, S. 539</w:t>
      </w:r>
    </w:p>
    <w:p w14:paraId="288C94AB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„Patentbox“ – Was ist das und wer braucht </w:t>
      </w:r>
      <w:proofErr w:type="gramStart"/>
      <w:r w:rsidRPr="00EB3FF2">
        <w:rPr>
          <w:rFonts w:eastAsia="Times New Roman" w:cstheme="minorHAnsi"/>
          <w:sz w:val="22"/>
          <w:szCs w:val="22"/>
          <w:lang w:eastAsia="de-DE"/>
        </w:rPr>
        <w:t>sie?,</w:t>
      </w:r>
      <w:proofErr w:type="gram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in: reinraum.de, Februar 2015, sowie reinraum-Printline, 1/2015, S. 69f.</w:t>
      </w:r>
    </w:p>
    <w:p w14:paraId="34301F3E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>Entscheidungsbesprechung zu: BFH - Kein Anspruch auf einen bestimmten rechtmäßigen Inhalt einer verbindlichen Auskunft (BFH, Urteil vom 29.2.2012 – IX R 11/11), in: Betriebs-Berater 2012, S. 1971</w:t>
      </w:r>
    </w:p>
    <w:p w14:paraId="352B4D10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>Entscheidungsbesprechung zu: BFH - Finanzunternehmen und Eigenhandelsabsicht (Objektgesellschaft) (BFH, Beschluss vom 30.11.2011 – I B 105/11), in: Betriebs-Berater 2012, S. 493</w:t>
      </w:r>
    </w:p>
    <w:p w14:paraId="593839D9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>Entscheidungsbesprechung zu: BFH – Veräußerungsgewinn im Sinne von § 17 Absatz 1 und 2 EStG (BFH, Urteil vom 8.2.2011 – IX R 15/10), in: Betriebs-Berater 2011, S. 1960 (Co-Autor)</w:t>
      </w:r>
    </w:p>
    <w:p w14:paraId="5D102E45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Steuerrechtliche Aspekte des </w:t>
      </w:r>
      <w:proofErr w:type="gramStart"/>
      <w:r w:rsidRPr="00EB3FF2">
        <w:rPr>
          <w:rFonts w:eastAsia="Times New Roman" w:cstheme="minorHAnsi"/>
          <w:sz w:val="22"/>
          <w:szCs w:val="22"/>
          <w:lang w:eastAsia="de-DE"/>
        </w:rPr>
        <w:t>Cloud Computing</w:t>
      </w:r>
      <w:proofErr w:type="gramEnd"/>
      <w:r w:rsidRPr="00EB3FF2">
        <w:rPr>
          <w:rFonts w:eastAsia="Times New Roman" w:cstheme="minorHAnsi"/>
          <w:sz w:val="22"/>
          <w:szCs w:val="22"/>
          <w:lang w:eastAsia="de-DE"/>
        </w:rPr>
        <w:t>, in: Betriebs-Berater 2011, S. 2198 (Co-Autor)</w:t>
      </w:r>
    </w:p>
    <w:p w14:paraId="50CBF13F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>“Negativer Kaufpreis” und “negativer Geschäftswert” bei Unternehmenstransaktionen – Kein Grund zur Beunruhigung, in: Steuer-Consultant 2011, Ausgabe 7 (Co-Autor)</w:t>
      </w:r>
    </w:p>
    <w:p w14:paraId="3AF2D21B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>Die Praxis der steuerrechtlichen Konkurrentenklage, in: Betriebs-Berater 2011, S. 1567 (Co-Autor)</w:t>
      </w:r>
    </w:p>
    <w:p w14:paraId="107335F2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GmbH-Konzern, Organschaft, Eingliederung, rückwirkende Umwandlung,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Fußstapfentheorie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, in: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EWiR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>, 2011, S. 63 (Co-</w:t>
      </w:r>
      <w:proofErr w:type="gramStart"/>
      <w:r w:rsidRPr="00EB3FF2">
        <w:rPr>
          <w:rFonts w:eastAsia="Times New Roman" w:cstheme="minorHAnsi"/>
          <w:sz w:val="22"/>
          <w:szCs w:val="22"/>
          <w:lang w:eastAsia="de-DE"/>
        </w:rPr>
        <w:t>Autor)German</w:t>
      </w:r>
      <w:proofErr w:type="gram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air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travel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tax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, in: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Tax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Planning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International –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Indirect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Taxes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>, Dezember 2010, S. 20 (Co-Autor)</w:t>
      </w:r>
    </w:p>
    <w:p w14:paraId="2EE93A1D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lastRenderedPageBreak/>
        <w:t>Die Grunderwerbsteuer im Brennpunkt, in: Deutscher Anwalt-Spiegel 2010, S. 11 (Co-Autor)</w:t>
      </w:r>
    </w:p>
    <w:p w14:paraId="44674307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Steuerabzug ohne </w:t>
      </w:r>
      <w:proofErr w:type="gramStart"/>
      <w:r w:rsidRPr="00EB3FF2">
        <w:rPr>
          <w:rFonts w:eastAsia="Times New Roman" w:cstheme="minorHAnsi"/>
          <w:sz w:val="22"/>
          <w:szCs w:val="22"/>
          <w:lang w:eastAsia="de-DE"/>
        </w:rPr>
        <w:t>Steuerschuld?,</w:t>
      </w:r>
      <w:proofErr w:type="gram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in: Der Betrieb 2010, S. 1366 (Co-Autor)</w:t>
      </w:r>
    </w:p>
    <w:p w14:paraId="48832AE0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Wettbewerbspolitik durch nationales Umsatzsteuerrecht? - Europa- und verfassungsrechtliche Bedenken gegen die umsatzsteuerliche Schlechterstellung vom Privatkliniken nach dem 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JStG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2009, in: Betriebs-Berater 2009, S. 531 (Co-Autor)</w:t>
      </w:r>
    </w:p>
    <w:p w14:paraId="6B10AA37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>Zur (</w:t>
      </w:r>
      <w:proofErr w:type="spellStart"/>
      <w:r w:rsidRPr="00EB3FF2">
        <w:rPr>
          <w:rFonts w:eastAsia="Times New Roman" w:cstheme="minorHAnsi"/>
          <w:sz w:val="22"/>
          <w:szCs w:val="22"/>
          <w:lang w:eastAsia="de-DE"/>
        </w:rPr>
        <w:t>Un</w:t>
      </w:r>
      <w:proofErr w:type="spellEnd"/>
      <w:r w:rsidRPr="00EB3FF2">
        <w:rPr>
          <w:rFonts w:eastAsia="Times New Roman" w:cstheme="minorHAnsi"/>
          <w:sz w:val="22"/>
          <w:szCs w:val="22"/>
          <w:lang w:eastAsia="de-DE"/>
        </w:rPr>
        <w:t>-)Anwendbarkeit von § 8c KStG bei konzerninternen Umstrukturierungen, in: Betriebs-Berater 2009, S. 1502 (Co-Autor)</w:t>
      </w:r>
    </w:p>
    <w:p w14:paraId="795EEDD2" w14:textId="77777777" w:rsidR="00EB3FF2" w:rsidRPr="00EB3FF2" w:rsidRDefault="00EB3FF2" w:rsidP="00EB3FF2">
      <w:pPr>
        <w:pStyle w:val="Listenabsatz"/>
        <w:numPr>
          <w:ilvl w:val="0"/>
          <w:numId w:val="14"/>
        </w:numPr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  <w:r w:rsidRPr="00EB3FF2">
        <w:rPr>
          <w:rFonts w:eastAsia="Times New Roman" w:cstheme="minorHAnsi"/>
          <w:sz w:val="22"/>
          <w:szCs w:val="22"/>
          <w:lang w:eastAsia="de-DE"/>
        </w:rPr>
        <w:t xml:space="preserve">"Hinzurechnungsbesteuerung” nach § 8b Abs. 1 S. 2 KStG </w:t>
      </w:r>
      <w:proofErr w:type="gramStart"/>
      <w:r w:rsidRPr="00EB3FF2">
        <w:rPr>
          <w:rFonts w:eastAsia="Times New Roman" w:cstheme="minorHAnsi"/>
          <w:sz w:val="22"/>
          <w:szCs w:val="22"/>
          <w:lang w:eastAsia="de-DE"/>
        </w:rPr>
        <w:t>europarechtskonform?,</w:t>
      </w:r>
      <w:proofErr w:type="gramEnd"/>
      <w:r w:rsidRPr="00EB3FF2">
        <w:rPr>
          <w:rFonts w:eastAsia="Times New Roman" w:cstheme="minorHAnsi"/>
          <w:sz w:val="22"/>
          <w:szCs w:val="22"/>
          <w:lang w:eastAsia="de-DE"/>
        </w:rPr>
        <w:t xml:space="preserve"> in: Betriebs-Berater 2009, S. 2713</w:t>
      </w:r>
    </w:p>
    <w:bookmarkEnd w:id="3"/>
    <w:bookmarkEnd w:id="4"/>
    <w:p w14:paraId="59A8204A" w14:textId="4DEDFE80" w:rsidR="00DF293B" w:rsidRDefault="00DF293B" w:rsidP="00EB3FF2">
      <w:pPr>
        <w:pStyle w:val="Listenabsatz"/>
        <w:spacing w:after="120" w:line="300" w:lineRule="auto"/>
        <w:ind w:right="890"/>
        <w:jc w:val="both"/>
        <w:rPr>
          <w:rFonts w:eastAsia="Times New Roman" w:cstheme="minorHAnsi"/>
          <w:sz w:val="22"/>
          <w:szCs w:val="22"/>
          <w:lang w:eastAsia="de-DE"/>
        </w:rPr>
      </w:pPr>
    </w:p>
    <w:p w14:paraId="21EB9E96" w14:textId="77777777" w:rsidR="00DF293B" w:rsidRPr="00912B69" w:rsidRDefault="00DF293B" w:rsidP="00DF293B">
      <w:pPr>
        <w:pStyle w:val="Listenabsatz"/>
        <w:spacing w:after="120" w:line="300" w:lineRule="auto"/>
        <w:ind w:left="717" w:right="890"/>
        <w:jc w:val="center"/>
        <w:rPr>
          <w:rFonts w:eastAsia="Times New Roman" w:cstheme="minorHAnsi"/>
          <w:sz w:val="22"/>
          <w:szCs w:val="22"/>
          <w:lang w:eastAsia="de-DE"/>
        </w:rPr>
      </w:pPr>
      <w:r w:rsidRPr="00912B69">
        <w:rPr>
          <w:rFonts w:eastAsia="Times New Roman" w:cstheme="minorHAnsi"/>
          <w:sz w:val="22"/>
          <w:szCs w:val="22"/>
          <w:lang w:eastAsia="de-DE"/>
        </w:rPr>
        <w:t>* * *</w:t>
      </w:r>
    </w:p>
    <w:p w14:paraId="5F788CB9" w14:textId="51653D68" w:rsidR="00DF293B" w:rsidRPr="00912B69" w:rsidRDefault="00DF293B" w:rsidP="00DF293B">
      <w:pPr>
        <w:pStyle w:val="Kopfzeile"/>
        <w:jc w:val="right"/>
        <w:rPr>
          <w:rFonts w:cstheme="minorHAnsi"/>
        </w:rPr>
      </w:pPr>
      <w:r w:rsidRPr="00912B69">
        <w:rPr>
          <w:rFonts w:cstheme="minorHAnsi"/>
        </w:rPr>
        <w:t xml:space="preserve">Stand: </w:t>
      </w:r>
      <w:r w:rsidRPr="008268B1">
        <w:rPr>
          <w:rFonts w:cstheme="minorHAnsi"/>
        </w:rPr>
        <w:fldChar w:fldCharType="begin"/>
      </w:r>
      <w:r w:rsidRPr="008268B1">
        <w:rPr>
          <w:rFonts w:cstheme="minorHAnsi"/>
        </w:rPr>
        <w:instrText xml:space="preserve"> TIME \@ "d. MMMM yyyy" </w:instrText>
      </w:r>
      <w:r w:rsidRPr="008268B1">
        <w:rPr>
          <w:rFonts w:cstheme="minorHAnsi"/>
        </w:rPr>
        <w:fldChar w:fldCharType="separate"/>
      </w:r>
      <w:r w:rsidR="00034622">
        <w:rPr>
          <w:rFonts w:cstheme="minorHAnsi"/>
          <w:noProof/>
        </w:rPr>
        <w:t>30. Mai 2021</w:t>
      </w:r>
      <w:r w:rsidRPr="008268B1">
        <w:rPr>
          <w:rFonts w:cstheme="minorHAnsi"/>
        </w:rPr>
        <w:fldChar w:fldCharType="end"/>
      </w:r>
    </w:p>
    <w:p w14:paraId="47ECA536" w14:textId="77777777" w:rsidR="00CF387B" w:rsidRPr="00912B69" w:rsidRDefault="00CF387B" w:rsidP="00CF387B">
      <w:pPr>
        <w:rPr>
          <w:rFonts w:eastAsiaTheme="minorEastAsia"/>
          <w:b/>
          <w:bCs/>
          <w:noProof/>
          <w:color w:val="595959"/>
          <w:lang w:eastAsia="en-GB"/>
        </w:rPr>
      </w:pPr>
      <w:r w:rsidRPr="00912B69">
        <w:rPr>
          <w:rFonts w:eastAsiaTheme="minorEastAsia"/>
          <w:b/>
          <w:bCs/>
          <w:noProof/>
          <w:color w:val="595959"/>
          <w:lang w:eastAsia="en-GB"/>
        </w:rPr>
        <w:t xml:space="preserve">Dr. Henning Frase LL.M. </w:t>
      </w:r>
    </w:p>
    <w:p w14:paraId="587764A8" w14:textId="1B4EB597" w:rsidR="00CF387B" w:rsidRPr="00CF387B" w:rsidRDefault="00CF387B" w:rsidP="00CF387B">
      <w:pPr>
        <w:rPr>
          <w:rFonts w:eastAsiaTheme="minorEastAsia"/>
          <w:noProof/>
          <w:sz w:val="18"/>
          <w:szCs w:val="18"/>
          <w:lang w:eastAsia="en-GB"/>
        </w:rPr>
      </w:pPr>
      <w:r>
        <w:rPr>
          <w:rFonts w:eastAsiaTheme="minorEastAsia"/>
          <w:noProof/>
          <w:sz w:val="18"/>
          <w:szCs w:val="18"/>
          <w:lang w:eastAsia="en-GB"/>
        </w:rPr>
        <w:t xml:space="preserve">Rechtsanwalt | Fachanwalt für Steuerrecht | Steuerberater </w:t>
      </w:r>
    </w:p>
    <w:p w14:paraId="5403A837" w14:textId="21AE9FBF" w:rsidR="00CF387B" w:rsidRDefault="00CF387B" w:rsidP="00CF387B">
      <w:pPr>
        <w:rPr>
          <w:rFonts w:eastAsiaTheme="minorEastAsia"/>
          <w:noProof/>
          <w:color w:val="333F50"/>
          <w:sz w:val="28"/>
          <w:szCs w:val="28"/>
          <w:lang w:eastAsia="en-GB"/>
        </w:rPr>
      </w:pPr>
      <w:r>
        <w:rPr>
          <w:rFonts w:eastAsiaTheme="minorEastAsia"/>
          <w:b/>
          <w:noProof/>
          <w:color w:val="002060"/>
          <w:sz w:val="26"/>
          <w:szCs w:val="26"/>
          <w:lang w:eastAsia="en-GB"/>
        </w:rPr>
        <w:drawing>
          <wp:inline distT="0" distB="0" distL="0" distR="0" wp14:anchorId="24C22AB2" wp14:editId="2066CD23">
            <wp:extent cx="1257300" cy="504825"/>
            <wp:effectExtent l="0" t="0" r="0" b="9525"/>
            <wp:docPr id="1" name="Grafik 1" descr="cid:image002.png@01D6ECC7.11819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cid:image002.png@01D6ECC7.118193C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CF387B" w:rsidSect="00EF3A29">
      <w:footerReference w:type="default" r:id="rId9"/>
      <w:headerReference w:type="first" r:id="rId10"/>
      <w:footerReference w:type="first" r:id="rId11"/>
      <w:type w:val="continuous"/>
      <w:pgSz w:w="11900" w:h="16840"/>
      <w:pgMar w:top="1349" w:right="2119" w:bottom="1134" w:left="123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E5B59" w14:textId="77777777" w:rsidR="00F6771F" w:rsidRDefault="00F6771F" w:rsidP="00150E5D">
      <w:r>
        <w:separator/>
      </w:r>
    </w:p>
  </w:endnote>
  <w:endnote w:type="continuationSeparator" w:id="0">
    <w:p w14:paraId="54F44DB1" w14:textId="77777777" w:rsidR="00F6771F" w:rsidRDefault="00F6771F" w:rsidP="0015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332593089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C2FAB" w14:textId="77777777" w:rsidR="00DF293B" w:rsidRDefault="00DF293B">
            <w:pPr>
              <w:pStyle w:val="Fuzeile"/>
              <w:jc w:val="center"/>
              <w:rPr>
                <w:sz w:val="22"/>
                <w:szCs w:val="22"/>
              </w:rPr>
            </w:pPr>
          </w:p>
          <w:p w14:paraId="048D1996" w14:textId="69018D72" w:rsidR="00AF121C" w:rsidRPr="00AF121C" w:rsidRDefault="00AF121C">
            <w:pPr>
              <w:pStyle w:val="Fuzeile"/>
              <w:jc w:val="center"/>
              <w:rPr>
                <w:sz w:val="22"/>
                <w:szCs w:val="22"/>
              </w:rPr>
            </w:pPr>
            <w:r w:rsidRPr="00AF121C">
              <w:rPr>
                <w:sz w:val="22"/>
                <w:szCs w:val="22"/>
              </w:rPr>
              <w:t xml:space="preserve">Seite </w:t>
            </w:r>
            <w:r w:rsidRPr="00AF121C">
              <w:rPr>
                <w:sz w:val="22"/>
                <w:szCs w:val="22"/>
              </w:rPr>
              <w:fldChar w:fldCharType="begin"/>
            </w:r>
            <w:r w:rsidRPr="00AF121C">
              <w:rPr>
                <w:sz w:val="22"/>
                <w:szCs w:val="22"/>
              </w:rPr>
              <w:instrText>PAGE</w:instrText>
            </w:r>
            <w:r w:rsidRPr="00AF121C">
              <w:rPr>
                <w:sz w:val="22"/>
                <w:szCs w:val="22"/>
              </w:rPr>
              <w:fldChar w:fldCharType="separate"/>
            </w:r>
            <w:r w:rsidRPr="00AF121C">
              <w:rPr>
                <w:sz w:val="22"/>
                <w:szCs w:val="22"/>
              </w:rPr>
              <w:t>2</w:t>
            </w:r>
            <w:r w:rsidRPr="00AF121C">
              <w:rPr>
                <w:sz w:val="22"/>
                <w:szCs w:val="22"/>
              </w:rPr>
              <w:fldChar w:fldCharType="end"/>
            </w:r>
            <w:r w:rsidRPr="00AF121C">
              <w:rPr>
                <w:sz w:val="22"/>
                <w:szCs w:val="22"/>
              </w:rPr>
              <w:t xml:space="preserve"> von </w:t>
            </w:r>
            <w:r w:rsidRPr="00AF121C">
              <w:rPr>
                <w:sz w:val="22"/>
                <w:szCs w:val="22"/>
              </w:rPr>
              <w:fldChar w:fldCharType="begin"/>
            </w:r>
            <w:r w:rsidRPr="00AF121C">
              <w:rPr>
                <w:sz w:val="22"/>
                <w:szCs w:val="22"/>
              </w:rPr>
              <w:instrText>NUMPAGES</w:instrText>
            </w:r>
            <w:r w:rsidRPr="00AF121C">
              <w:rPr>
                <w:sz w:val="22"/>
                <w:szCs w:val="22"/>
              </w:rPr>
              <w:fldChar w:fldCharType="separate"/>
            </w:r>
            <w:r w:rsidRPr="00AF121C">
              <w:rPr>
                <w:sz w:val="22"/>
                <w:szCs w:val="22"/>
              </w:rPr>
              <w:t>2</w:t>
            </w:r>
            <w:r w:rsidRPr="00AF121C">
              <w:rPr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3369A" w14:textId="023A3F89" w:rsidR="00165A30" w:rsidRDefault="00D325B2" w:rsidP="00BE57A9">
    <w:pPr>
      <w:pStyle w:val="Fuzeile"/>
      <w:tabs>
        <w:tab w:val="clear" w:pos="4536"/>
      </w:tabs>
      <w:ind w:right="40"/>
      <w:jc w:val="center"/>
    </w:pPr>
    <w:r>
      <w:rPr>
        <w:sz w:val="22"/>
        <w:szCs w:val="22"/>
      </w:rPr>
      <w:t>Seite</w:t>
    </w:r>
    <w:r w:rsidR="00165A30">
      <w:rPr>
        <w:sz w:val="22"/>
        <w:szCs w:val="22"/>
      </w:rPr>
      <w:t xml:space="preserve"> </w:t>
    </w:r>
    <w:r w:rsidR="00165A30" w:rsidRPr="00222645">
      <w:rPr>
        <w:bCs/>
        <w:sz w:val="22"/>
        <w:szCs w:val="22"/>
      </w:rPr>
      <w:t>1</w:t>
    </w:r>
    <w:r w:rsidR="00165A30" w:rsidRPr="00222645">
      <w:rPr>
        <w:sz w:val="22"/>
        <w:szCs w:val="22"/>
      </w:rPr>
      <w:t xml:space="preserve"> </w:t>
    </w:r>
    <w:r>
      <w:rPr>
        <w:sz w:val="22"/>
        <w:szCs w:val="22"/>
      </w:rPr>
      <w:t>von</w:t>
    </w:r>
    <w:r w:rsidR="00165A30" w:rsidRPr="00222645">
      <w:rPr>
        <w:sz w:val="22"/>
        <w:szCs w:val="22"/>
      </w:rPr>
      <w:t xml:space="preserve"> </w:t>
    </w:r>
    <w:r w:rsidR="00165A30" w:rsidRPr="00222645">
      <w:rPr>
        <w:bCs/>
        <w:sz w:val="22"/>
        <w:szCs w:val="22"/>
      </w:rPr>
      <w:fldChar w:fldCharType="begin"/>
    </w:r>
    <w:r w:rsidR="00165A30" w:rsidRPr="00222645">
      <w:rPr>
        <w:bCs/>
        <w:sz w:val="22"/>
        <w:szCs w:val="22"/>
      </w:rPr>
      <w:instrText>NUMPAGES</w:instrText>
    </w:r>
    <w:r w:rsidR="00165A30" w:rsidRPr="00222645">
      <w:rPr>
        <w:bCs/>
        <w:sz w:val="22"/>
        <w:szCs w:val="22"/>
      </w:rPr>
      <w:fldChar w:fldCharType="separate"/>
    </w:r>
    <w:r w:rsidR="00165A30">
      <w:rPr>
        <w:bCs/>
        <w:sz w:val="22"/>
        <w:szCs w:val="22"/>
      </w:rPr>
      <w:t>6</w:t>
    </w:r>
    <w:r w:rsidR="00165A30" w:rsidRPr="00222645">
      <w:rPr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89757" w14:textId="77777777" w:rsidR="00F6771F" w:rsidRDefault="00F6771F" w:rsidP="00150E5D">
      <w:r>
        <w:separator/>
      </w:r>
    </w:p>
  </w:footnote>
  <w:footnote w:type="continuationSeparator" w:id="0">
    <w:p w14:paraId="06FE5E17" w14:textId="77777777" w:rsidR="00F6771F" w:rsidRDefault="00F6771F" w:rsidP="0015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1F99" w14:textId="625C0488" w:rsidR="00165A30" w:rsidRDefault="00165A30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62EBFC2" wp14:editId="4464E59A">
          <wp:simplePos x="0" y="0"/>
          <wp:positionH relativeFrom="column">
            <wp:posOffset>-625475</wp:posOffset>
          </wp:positionH>
          <wp:positionV relativeFrom="paragraph">
            <wp:posOffset>-460135</wp:posOffset>
          </wp:positionV>
          <wp:extent cx="7614914" cy="10763264"/>
          <wp:effectExtent l="0" t="0" r="571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914" cy="10763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2C6021B" wp14:editId="3B8FAC8D">
          <wp:simplePos x="0" y="0"/>
          <wp:positionH relativeFrom="column">
            <wp:posOffset>-794385</wp:posOffset>
          </wp:positionH>
          <wp:positionV relativeFrom="paragraph">
            <wp:posOffset>10810875</wp:posOffset>
          </wp:positionV>
          <wp:extent cx="7572375" cy="10699750"/>
          <wp:effectExtent l="38100" t="38100" r="104775" b="10160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699750"/>
                  </a:xfrm>
                  <a:prstGeom prst="rect">
                    <a:avLst/>
                  </a:prstGeom>
                  <a:ln w="127000" cap="sq">
                    <a:noFill/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3B95"/>
    <w:multiLevelType w:val="hybridMultilevel"/>
    <w:tmpl w:val="01CC5272"/>
    <w:lvl w:ilvl="0" w:tplc="1DD26BD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0F3FA1"/>
    <w:multiLevelType w:val="hybridMultilevel"/>
    <w:tmpl w:val="7EEE0B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F3640A"/>
    <w:multiLevelType w:val="hybridMultilevel"/>
    <w:tmpl w:val="01CC5272"/>
    <w:lvl w:ilvl="0" w:tplc="1DD26BD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475412"/>
    <w:multiLevelType w:val="hybridMultilevel"/>
    <w:tmpl w:val="7B4A5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052F0"/>
    <w:multiLevelType w:val="hybridMultilevel"/>
    <w:tmpl w:val="01CC5272"/>
    <w:lvl w:ilvl="0" w:tplc="1DD26BD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5709D7"/>
    <w:multiLevelType w:val="hybridMultilevel"/>
    <w:tmpl w:val="D444B654"/>
    <w:lvl w:ilvl="0" w:tplc="50322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3A0DAC"/>
    <w:multiLevelType w:val="hybridMultilevel"/>
    <w:tmpl w:val="7B4A5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D2315"/>
    <w:multiLevelType w:val="hybridMultilevel"/>
    <w:tmpl w:val="D368F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C5961"/>
    <w:multiLevelType w:val="multilevel"/>
    <w:tmpl w:val="3B4E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7D51B2"/>
    <w:multiLevelType w:val="hybridMultilevel"/>
    <w:tmpl w:val="D368F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226F3"/>
    <w:multiLevelType w:val="hybridMultilevel"/>
    <w:tmpl w:val="804693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27B7A"/>
    <w:multiLevelType w:val="hybridMultilevel"/>
    <w:tmpl w:val="80A49A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F4789"/>
    <w:multiLevelType w:val="hybridMultilevel"/>
    <w:tmpl w:val="01CC5272"/>
    <w:lvl w:ilvl="0" w:tplc="1DD26BD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CE12752"/>
    <w:multiLevelType w:val="hybridMultilevel"/>
    <w:tmpl w:val="540A7F10"/>
    <w:lvl w:ilvl="0" w:tplc="0407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4"/>
  </w:num>
  <w:num w:numId="5">
    <w:abstractNumId w:val="12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13"/>
  </w:num>
  <w:num w:numId="12">
    <w:abstractNumId w:val="6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11"/>
    <w:rsid w:val="000163CF"/>
    <w:rsid w:val="00034622"/>
    <w:rsid w:val="0004013A"/>
    <w:rsid w:val="00074A24"/>
    <w:rsid w:val="000A630A"/>
    <w:rsid w:val="000B4B04"/>
    <w:rsid w:val="000E5A10"/>
    <w:rsid w:val="000F6642"/>
    <w:rsid w:val="00104E36"/>
    <w:rsid w:val="0014288B"/>
    <w:rsid w:val="00150E5D"/>
    <w:rsid w:val="00165A30"/>
    <w:rsid w:val="0018488C"/>
    <w:rsid w:val="0018597A"/>
    <w:rsid w:val="001923EA"/>
    <w:rsid w:val="001B7AF7"/>
    <w:rsid w:val="00206098"/>
    <w:rsid w:val="00207266"/>
    <w:rsid w:val="00217C9D"/>
    <w:rsid w:val="00222645"/>
    <w:rsid w:val="002232DD"/>
    <w:rsid w:val="00224D3A"/>
    <w:rsid w:val="0023736E"/>
    <w:rsid w:val="00241572"/>
    <w:rsid w:val="00256983"/>
    <w:rsid w:val="00262E75"/>
    <w:rsid w:val="002827FC"/>
    <w:rsid w:val="0033568C"/>
    <w:rsid w:val="0035720A"/>
    <w:rsid w:val="00357666"/>
    <w:rsid w:val="003B0424"/>
    <w:rsid w:val="003F36D2"/>
    <w:rsid w:val="004120D6"/>
    <w:rsid w:val="00417D0A"/>
    <w:rsid w:val="004365DE"/>
    <w:rsid w:val="00476707"/>
    <w:rsid w:val="00483442"/>
    <w:rsid w:val="00497D96"/>
    <w:rsid w:val="004B18E1"/>
    <w:rsid w:val="004B3366"/>
    <w:rsid w:val="004B68E2"/>
    <w:rsid w:val="004B76C3"/>
    <w:rsid w:val="004C1BC7"/>
    <w:rsid w:val="004F1E95"/>
    <w:rsid w:val="00506790"/>
    <w:rsid w:val="00535986"/>
    <w:rsid w:val="00575647"/>
    <w:rsid w:val="005946DC"/>
    <w:rsid w:val="005A0CEA"/>
    <w:rsid w:val="005A21DC"/>
    <w:rsid w:val="005F6A09"/>
    <w:rsid w:val="00600CE5"/>
    <w:rsid w:val="00656E72"/>
    <w:rsid w:val="006713CF"/>
    <w:rsid w:val="00675EF3"/>
    <w:rsid w:val="006800D6"/>
    <w:rsid w:val="006E5D58"/>
    <w:rsid w:val="006E64C7"/>
    <w:rsid w:val="00707EE8"/>
    <w:rsid w:val="00715C10"/>
    <w:rsid w:val="00715F55"/>
    <w:rsid w:val="00735DAD"/>
    <w:rsid w:val="00754CFA"/>
    <w:rsid w:val="00767670"/>
    <w:rsid w:val="00772987"/>
    <w:rsid w:val="00773352"/>
    <w:rsid w:val="007A3752"/>
    <w:rsid w:val="007A675E"/>
    <w:rsid w:val="007C60C9"/>
    <w:rsid w:val="007F0380"/>
    <w:rsid w:val="008032CF"/>
    <w:rsid w:val="008315A5"/>
    <w:rsid w:val="00862C28"/>
    <w:rsid w:val="0088215D"/>
    <w:rsid w:val="008913E5"/>
    <w:rsid w:val="00892386"/>
    <w:rsid w:val="008946E6"/>
    <w:rsid w:val="008A5DBB"/>
    <w:rsid w:val="008B6187"/>
    <w:rsid w:val="008C207C"/>
    <w:rsid w:val="008F3FAE"/>
    <w:rsid w:val="008F7147"/>
    <w:rsid w:val="008F72F3"/>
    <w:rsid w:val="008F744E"/>
    <w:rsid w:val="00912B69"/>
    <w:rsid w:val="00922B9C"/>
    <w:rsid w:val="009245A9"/>
    <w:rsid w:val="00944328"/>
    <w:rsid w:val="00951738"/>
    <w:rsid w:val="009A3A13"/>
    <w:rsid w:val="009C3A6A"/>
    <w:rsid w:val="009C5DEC"/>
    <w:rsid w:val="009D193F"/>
    <w:rsid w:val="009E796B"/>
    <w:rsid w:val="00A04D22"/>
    <w:rsid w:val="00A12FD3"/>
    <w:rsid w:val="00A14899"/>
    <w:rsid w:val="00A220B1"/>
    <w:rsid w:val="00A4138A"/>
    <w:rsid w:val="00A4480D"/>
    <w:rsid w:val="00A70FF7"/>
    <w:rsid w:val="00AC2905"/>
    <w:rsid w:val="00AC4FBB"/>
    <w:rsid w:val="00AE1E79"/>
    <w:rsid w:val="00AE78CF"/>
    <w:rsid w:val="00AF121C"/>
    <w:rsid w:val="00B04691"/>
    <w:rsid w:val="00B1068F"/>
    <w:rsid w:val="00B266AE"/>
    <w:rsid w:val="00B449EB"/>
    <w:rsid w:val="00B521A3"/>
    <w:rsid w:val="00B5316D"/>
    <w:rsid w:val="00B71835"/>
    <w:rsid w:val="00B8438B"/>
    <w:rsid w:val="00B854CC"/>
    <w:rsid w:val="00BE57A9"/>
    <w:rsid w:val="00C01A47"/>
    <w:rsid w:val="00C0583D"/>
    <w:rsid w:val="00C1068E"/>
    <w:rsid w:val="00C12D8D"/>
    <w:rsid w:val="00C75C0C"/>
    <w:rsid w:val="00C80358"/>
    <w:rsid w:val="00C823C0"/>
    <w:rsid w:val="00CD6021"/>
    <w:rsid w:val="00CF387B"/>
    <w:rsid w:val="00CF3F2A"/>
    <w:rsid w:val="00D034BB"/>
    <w:rsid w:val="00D325B2"/>
    <w:rsid w:val="00D335FE"/>
    <w:rsid w:val="00D611F5"/>
    <w:rsid w:val="00D65A34"/>
    <w:rsid w:val="00DA7BA3"/>
    <w:rsid w:val="00DB6E4E"/>
    <w:rsid w:val="00DC2174"/>
    <w:rsid w:val="00DD1AF8"/>
    <w:rsid w:val="00DF293B"/>
    <w:rsid w:val="00E04B83"/>
    <w:rsid w:val="00E1706D"/>
    <w:rsid w:val="00E202BD"/>
    <w:rsid w:val="00E211F5"/>
    <w:rsid w:val="00E3729D"/>
    <w:rsid w:val="00E53089"/>
    <w:rsid w:val="00E73011"/>
    <w:rsid w:val="00E77924"/>
    <w:rsid w:val="00E971ED"/>
    <w:rsid w:val="00EB3FF2"/>
    <w:rsid w:val="00EC71F3"/>
    <w:rsid w:val="00EF3A29"/>
    <w:rsid w:val="00EF5775"/>
    <w:rsid w:val="00F173DE"/>
    <w:rsid w:val="00F6771F"/>
    <w:rsid w:val="00F740C8"/>
    <w:rsid w:val="00F97E8D"/>
    <w:rsid w:val="00FB6003"/>
    <w:rsid w:val="00FC388C"/>
    <w:rsid w:val="00F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1506A"/>
  <w15:chartTrackingRefBased/>
  <w15:docId w15:val="{9E1B2A2D-1591-3042-9425-2B8BB553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293B"/>
  </w:style>
  <w:style w:type="paragraph" w:styleId="berschrift1">
    <w:name w:val="heading 1"/>
    <w:basedOn w:val="Standard"/>
    <w:next w:val="Standard"/>
    <w:link w:val="berschrift1Zchn"/>
    <w:uiPriority w:val="9"/>
    <w:qFormat/>
    <w:rsid w:val="00AF12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0E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0E5D"/>
  </w:style>
  <w:style w:type="paragraph" w:styleId="Fuzeile">
    <w:name w:val="footer"/>
    <w:basedOn w:val="Standard"/>
    <w:link w:val="FuzeileZchn"/>
    <w:uiPriority w:val="99"/>
    <w:unhideWhenUsed/>
    <w:rsid w:val="00150E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0E5D"/>
  </w:style>
  <w:style w:type="character" w:styleId="Hyperlink">
    <w:name w:val="Hyperlink"/>
    <w:basedOn w:val="Absatz-Standardschriftart"/>
    <w:uiPriority w:val="99"/>
    <w:unhideWhenUsed/>
    <w:rsid w:val="00150E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0E5D"/>
    <w:rPr>
      <w:color w:val="605E5C"/>
      <w:shd w:val="clear" w:color="auto" w:fill="E1DFDD"/>
    </w:rPr>
  </w:style>
  <w:style w:type="paragraph" w:customStyle="1" w:styleId="EinfAbs">
    <w:name w:val="[Einf. Abs.]"/>
    <w:basedOn w:val="Standard"/>
    <w:uiPriority w:val="99"/>
    <w:rsid w:val="00150E5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uiPriority w:val="34"/>
    <w:qFormat/>
    <w:rsid w:val="00E77924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707EE8"/>
  </w:style>
  <w:style w:type="paragraph" w:styleId="Anrede">
    <w:name w:val="Salutation"/>
    <w:basedOn w:val="Standard"/>
    <w:link w:val="AnredeZchn"/>
    <w:qFormat/>
    <w:rsid w:val="007A675E"/>
    <w:pPr>
      <w:tabs>
        <w:tab w:val="left" w:pos="510"/>
        <w:tab w:val="left" w:pos="1021"/>
        <w:tab w:val="left" w:pos="1531"/>
        <w:tab w:val="left" w:pos="2041"/>
      </w:tabs>
      <w:spacing w:before="360" w:after="240" w:line="360" w:lineRule="exact"/>
    </w:pPr>
    <w:rPr>
      <w:rFonts w:ascii="Calibri" w:eastAsia="Times New Roman" w:hAnsi="Calibri" w:cs="Times New Roman"/>
      <w:color w:val="000000"/>
      <w:sz w:val="23"/>
      <w:szCs w:val="20"/>
      <w:lang w:eastAsia="de-DE"/>
    </w:rPr>
  </w:style>
  <w:style w:type="character" w:customStyle="1" w:styleId="AnredeZchn">
    <w:name w:val="Anrede Zchn"/>
    <w:basedOn w:val="Absatz-Standardschriftart"/>
    <w:link w:val="Anrede"/>
    <w:rsid w:val="007A675E"/>
    <w:rPr>
      <w:rFonts w:ascii="Calibri" w:eastAsia="Times New Roman" w:hAnsi="Calibri" w:cs="Times New Roman"/>
      <w:color w:val="000000"/>
      <w:sz w:val="23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F3F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ST">
    <w:name w:val="ST"/>
    <w:qFormat/>
    <w:rsid w:val="00EF3A29"/>
    <w:pPr>
      <w:tabs>
        <w:tab w:val="left" w:pos="567"/>
        <w:tab w:val="left" w:pos="1134"/>
        <w:tab w:val="left" w:pos="1701"/>
        <w:tab w:val="left" w:pos="2552"/>
        <w:tab w:val="left" w:pos="3402"/>
      </w:tabs>
      <w:spacing w:line="360" w:lineRule="exact"/>
      <w:jc w:val="both"/>
    </w:pPr>
    <w:rPr>
      <w:rFonts w:ascii="Calibri" w:eastAsia="Times New Roman" w:hAnsi="Calibri" w:cs="Times New Roman"/>
      <w:color w:val="000000"/>
      <w:sz w:val="22"/>
      <w:szCs w:val="20"/>
      <w:lang w:eastAsia="de-DE"/>
    </w:rPr>
  </w:style>
  <w:style w:type="paragraph" w:customStyle="1" w:styleId="ST-ersteSeite">
    <w:name w:val="ST - erste Seite"/>
    <w:basedOn w:val="ST"/>
    <w:qFormat/>
    <w:rsid w:val="00EF3A29"/>
    <w:pPr>
      <w:ind w:right="2693"/>
    </w:pPr>
  </w:style>
  <w:style w:type="table" w:styleId="Tabellenraster">
    <w:name w:val="Table Grid"/>
    <w:basedOn w:val="NormaleTabelle"/>
    <w:uiPriority w:val="59"/>
    <w:rsid w:val="00EF3A29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F12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66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5" w:color="auto"/>
            <w:bottom w:val="none" w:sz="0" w:space="0" w:color="auto"/>
            <w:right w:val="none" w:sz="0" w:space="0" w:color="auto"/>
          </w:divBdr>
          <w:divsChild>
            <w:div w:id="15178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7254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5" w:color="auto"/>
            <w:bottom w:val="none" w:sz="0" w:space="0" w:color="auto"/>
            <w:right w:val="none" w:sz="0" w:space="0" w:color="auto"/>
          </w:divBdr>
          <w:divsChild>
            <w:div w:id="12381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2269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5" w:color="auto"/>
            <w:bottom w:val="none" w:sz="0" w:space="0" w:color="auto"/>
            <w:right w:val="none" w:sz="0" w:space="0" w:color="auto"/>
          </w:divBdr>
          <w:divsChild>
            <w:div w:id="16072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8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684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5" w:color="auto"/>
            <w:bottom w:val="none" w:sz="0" w:space="0" w:color="auto"/>
            <w:right w:val="none" w:sz="0" w:space="0" w:color="auto"/>
          </w:divBdr>
          <w:divsChild>
            <w:div w:id="12382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491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5" w:color="auto"/>
            <w:bottom w:val="none" w:sz="0" w:space="0" w:color="auto"/>
            <w:right w:val="none" w:sz="0" w:space="0" w:color="auto"/>
          </w:divBdr>
          <w:divsChild>
            <w:div w:id="11537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329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5" w:color="auto"/>
            <w:bottom w:val="none" w:sz="0" w:space="0" w:color="auto"/>
            <w:right w:val="none" w:sz="0" w:space="0" w:color="auto"/>
          </w:divBdr>
          <w:divsChild>
            <w:div w:id="18738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056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5" w:color="auto"/>
            <w:bottom w:val="none" w:sz="0" w:space="0" w:color="auto"/>
            <w:right w:val="none" w:sz="0" w:space="0" w:color="auto"/>
          </w:divBdr>
          <w:divsChild>
            <w:div w:id="9849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\AppData\Local\Microsoft\Windows\INetCache\Content.Outlook\9WTAYAXY\21_01_11_3t_bbogen_w3_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576E9-74C3-40B9-8503-DEBABA83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21_01_11_3t_bbogen_w3_f</Template>
  <TotalTime>0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Henning Frase</cp:lastModifiedBy>
  <cp:revision>7</cp:revision>
  <cp:lastPrinted>2021-05-30T12:05:00Z</cp:lastPrinted>
  <dcterms:created xsi:type="dcterms:W3CDTF">2021-05-01T15:29:00Z</dcterms:created>
  <dcterms:modified xsi:type="dcterms:W3CDTF">2021-05-30T20:11:00Z</dcterms:modified>
</cp:coreProperties>
</file>